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153268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Pr="008E2280">
        <w:rPr>
          <w:rFonts w:asciiTheme="minorHAnsi" w:hAnsiTheme="minorHAnsi"/>
          <w:b/>
          <w:sz w:val="26"/>
          <w:szCs w:val="26"/>
        </w:rPr>
        <w:t>Participación activa del personal en el mejoramiento del control interno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861BEE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861BEE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500CC8" w:rsidRDefault="00500CC8" w:rsidP="00500C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presente POLÍTICA se emite para facilitar </w:t>
      </w:r>
      <w:r w:rsidR="00D51805">
        <w:rPr>
          <w:rFonts w:asciiTheme="minorHAnsi" w:hAnsiTheme="minorHAnsi"/>
        </w:rPr>
        <w:t xml:space="preserve">la aplicación </w:t>
      </w:r>
      <w:r>
        <w:rPr>
          <w:rFonts w:asciiTheme="minorHAnsi" w:hAnsiTheme="minorHAnsi"/>
        </w:rPr>
        <w:t>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500CC8" w:rsidRDefault="00500CC8" w:rsidP="00500CC8">
      <w:pPr>
        <w:rPr>
          <w:rFonts w:asciiTheme="minorHAnsi" w:hAnsiTheme="minorHAnsi"/>
        </w:rPr>
      </w:pPr>
    </w:p>
    <w:p w:rsidR="00D51805" w:rsidRDefault="00D51805" w:rsidP="00D51805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 POLÍTICA se relaciona con el cumplimiento  de la siguiente Práctica Obligatoria contenida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1.1 Resumen de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B03503">
        <w:rPr>
          <w:rFonts w:asciiTheme="minorHAnsi" w:hAnsiTheme="minorHAnsi"/>
        </w:rPr>
        <w:t>: 1.1.</w:t>
      </w:r>
      <w:r>
        <w:rPr>
          <w:rFonts w:asciiTheme="minorHAnsi" w:hAnsiTheme="minorHAnsi"/>
        </w:rPr>
        <w:t>3</w:t>
      </w:r>
      <w:r w:rsidR="00B035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PO.2</w:t>
      </w:r>
    </w:p>
    <w:p w:rsidR="00BF72CB" w:rsidRDefault="00BF72CB" w:rsidP="008E2280">
      <w:pPr>
        <w:rPr>
          <w:rFonts w:asciiTheme="minorHAnsi" w:hAnsiTheme="minorHAnsi"/>
          <w:b/>
          <w:u w:val="single"/>
        </w:rPr>
      </w:pPr>
    </w:p>
    <w:p w:rsidR="00047CD0" w:rsidRDefault="00047CD0" w:rsidP="008E2280">
      <w:pPr>
        <w:rPr>
          <w:rFonts w:asciiTheme="minorHAnsi" w:hAnsiTheme="minorHAnsi"/>
          <w:b/>
          <w:u w:val="single"/>
        </w:rPr>
      </w:pPr>
    </w:p>
    <w:p w:rsidR="00D949D7" w:rsidRPr="00861BEE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861BEE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D949D7" w:rsidRDefault="00D949D7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Promover el mejoramiento continuo del control interno</w:t>
      </w:r>
      <w:r w:rsidR="00E155B2">
        <w:rPr>
          <w:rFonts w:asciiTheme="minorHAnsi" w:hAnsiTheme="minorHAnsi"/>
        </w:rPr>
        <w:t xml:space="preserve"> utilizando </w:t>
      </w:r>
      <w:r w:rsidR="002A089A">
        <w:rPr>
          <w:rFonts w:asciiTheme="minorHAnsi" w:hAnsiTheme="minorHAnsi"/>
        </w:rPr>
        <w:t xml:space="preserve">y aprovechando </w:t>
      </w:r>
      <w:r w:rsidR="00E155B2">
        <w:rPr>
          <w:rFonts w:asciiTheme="minorHAnsi" w:hAnsiTheme="minorHAnsi"/>
        </w:rPr>
        <w:t>a</w:t>
      </w:r>
      <w:r w:rsidR="001E26EB">
        <w:rPr>
          <w:rFonts w:asciiTheme="minorHAnsi" w:hAnsiTheme="minorHAnsi"/>
        </w:rPr>
        <w:t xml:space="preserve"> ta</w:t>
      </w:r>
      <w:r w:rsidR="00E155B2">
        <w:rPr>
          <w:rFonts w:asciiTheme="minorHAnsi" w:hAnsiTheme="minorHAnsi"/>
        </w:rPr>
        <w:t xml:space="preserve">l efecto el conocimiento </w:t>
      </w:r>
      <w:r w:rsidR="001E26EB">
        <w:rPr>
          <w:rFonts w:asciiTheme="minorHAnsi" w:hAnsiTheme="minorHAnsi"/>
        </w:rPr>
        <w:t>y sinergia colectiva</w:t>
      </w:r>
      <w:r w:rsidR="00E155B2">
        <w:rPr>
          <w:rFonts w:asciiTheme="minorHAnsi" w:hAnsiTheme="minorHAnsi"/>
        </w:rPr>
        <w:t xml:space="preserve"> del personal </w:t>
      </w:r>
      <w:r w:rsidR="001E26EB">
        <w:rPr>
          <w:rFonts w:asciiTheme="minorHAnsi" w:hAnsiTheme="minorHAnsi"/>
        </w:rPr>
        <w:t xml:space="preserve">(interno y externo) </w:t>
      </w:r>
      <w:r w:rsidR="00E155B2">
        <w:rPr>
          <w:rFonts w:asciiTheme="minorHAnsi" w:hAnsiTheme="minorHAnsi"/>
        </w:rPr>
        <w:t xml:space="preserve">vinculado </w:t>
      </w:r>
      <w:r w:rsidR="002A089A">
        <w:rPr>
          <w:rFonts w:asciiTheme="minorHAnsi" w:hAnsiTheme="minorHAnsi"/>
        </w:rPr>
        <w:t>a los proceso de la entidad</w:t>
      </w:r>
      <w:r>
        <w:rPr>
          <w:rFonts w:asciiTheme="minorHAnsi" w:hAnsiTheme="minorHAnsi"/>
        </w:rPr>
        <w:t>.</w:t>
      </w:r>
    </w:p>
    <w:p w:rsidR="00D949D7" w:rsidRDefault="00D949D7">
      <w:pPr>
        <w:rPr>
          <w:rFonts w:asciiTheme="minorHAnsi" w:hAnsiTheme="minorHAnsi"/>
        </w:rPr>
      </w:pPr>
    </w:p>
    <w:p w:rsidR="00047CD0" w:rsidRDefault="00047CD0">
      <w:pPr>
        <w:rPr>
          <w:rFonts w:asciiTheme="minorHAnsi" w:hAnsiTheme="minorHAnsi"/>
        </w:rPr>
      </w:pPr>
    </w:p>
    <w:p w:rsidR="00D949D7" w:rsidRPr="00861BEE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861BEE">
        <w:rPr>
          <w:rFonts w:asciiTheme="minorHAnsi" w:hAnsiTheme="minorHAnsi"/>
          <w:b/>
          <w:u w:val="single"/>
        </w:rPr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D949D7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0D5BB1">
        <w:rPr>
          <w:rFonts w:asciiTheme="minorHAnsi" w:hAnsiTheme="minorHAnsi"/>
        </w:rPr>
        <w:t xml:space="preserve">todo el personal </w:t>
      </w:r>
      <w:r w:rsidR="000C22D8">
        <w:rPr>
          <w:rFonts w:asciiTheme="minorHAnsi" w:hAnsiTheme="minorHAnsi"/>
        </w:rPr>
        <w:t xml:space="preserve">(funcionarios y servidores) </w:t>
      </w:r>
      <w:r w:rsidR="001E26EB">
        <w:rPr>
          <w:rFonts w:asciiTheme="minorHAnsi" w:hAnsiTheme="minorHAnsi"/>
        </w:rPr>
        <w:t xml:space="preserve">de </w:t>
      </w:r>
      <w:r w:rsidRPr="00D949D7">
        <w:rPr>
          <w:rFonts w:asciiTheme="minorHAnsi" w:hAnsiTheme="minorHAnsi"/>
        </w:rPr>
        <w:t xml:space="preserve">la </w:t>
      </w:r>
      <w:r w:rsidR="006071D3">
        <w:rPr>
          <w:rFonts w:asciiTheme="minorHAnsi" w:hAnsiTheme="minorHAnsi"/>
        </w:rPr>
        <w:t>entidad</w:t>
      </w:r>
      <w:r w:rsidR="000D5BB1">
        <w:rPr>
          <w:rFonts w:asciiTheme="minorHAnsi" w:hAnsiTheme="minorHAnsi"/>
        </w:rPr>
        <w:t xml:space="preserve"> y </w:t>
      </w:r>
      <w:r w:rsidRPr="00D949D7">
        <w:rPr>
          <w:rFonts w:asciiTheme="minorHAnsi" w:hAnsiTheme="minorHAnsi"/>
        </w:rPr>
        <w:t xml:space="preserve">terceros </w:t>
      </w:r>
      <w:r w:rsidR="002C281C">
        <w:rPr>
          <w:rFonts w:asciiTheme="minorHAnsi" w:hAnsiTheme="minorHAnsi"/>
        </w:rPr>
        <w:t>que interactúan  con</w:t>
      </w:r>
      <w:r>
        <w:rPr>
          <w:rFonts w:asciiTheme="minorHAnsi" w:hAnsiTheme="minorHAnsi"/>
        </w:rPr>
        <w:t xml:space="preserve"> la misma</w:t>
      </w:r>
      <w:r w:rsidR="000D5BB1">
        <w:rPr>
          <w:rFonts w:asciiTheme="minorHAnsi" w:hAnsiTheme="minorHAnsi"/>
        </w:rPr>
        <w:t>,</w:t>
      </w:r>
      <w:r w:rsidRPr="00D949D7">
        <w:rPr>
          <w:rFonts w:asciiTheme="minorHAnsi" w:hAnsiTheme="minorHAnsi"/>
        </w:rPr>
        <w:t xml:space="preserve"> </w:t>
      </w:r>
      <w:r w:rsidR="002C281C">
        <w:rPr>
          <w:rFonts w:asciiTheme="minorHAnsi" w:hAnsiTheme="minorHAnsi"/>
        </w:rPr>
        <w:t xml:space="preserve">a efecto </w:t>
      </w:r>
      <w:r w:rsidRPr="00D949D7">
        <w:rPr>
          <w:rFonts w:asciiTheme="minorHAnsi" w:hAnsiTheme="minorHAnsi"/>
        </w:rPr>
        <w:t xml:space="preserve">que puedan </w:t>
      </w:r>
      <w:r>
        <w:rPr>
          <w:rFonts w:asciiTheme="minorHAnsi" w:hAnsiTheme="minorHAnsi"/>
        </w:rPr>
        <w:t xml:space="preserve">informar </w:t>
      </w:r>
      <w:r w:rsidR="002C281C">
        <w:rPr>
          <w:rFonts w:asciiTheme="minorHAnsi" w:hAnsiTheme="minorHAnsi"/>
        </w:rPr>
        <w:t xml:space="preserve">sobre </w:t>
      </w:r>
      <w:r w:rsidRPr="00D949D7">
        <w:rPr>
          <w:rFonts w:asciiTheme="minorHAnsi" w:hAnsiTheme="minorHAnsi"/>
        </w:rPr>
        <w:t>aquellos eventos</w:t>
      </w:r>
      <w:r w:rsidR="000D5BB1">
        <w:rPr>
          <w:rFonts w:asciiTheme="minorHAnsi" w:hAnsiTheme="minorHAnsi"/>
        </w:rPr>
        <w:t xml:space="preserve">, procesos, procedimientos o actividades </w:t>
      </w:r>
      <w:r>
        <w:rPr>
          <w:rFonts w:asciiTheme="minorHAnsi" w:hAnsiTheme="minorHAnsi"/>
        </w:rPr>
        <w:t xml:space="preserve">relacionados con el control interno </w:t>
      </w:r>
      <w:r w:rsidR="000D5BB1">
        <w:rPr>
          <w:rFonts w:asciiTheme="minorHAnsi" w:hAnsiTheme="minorHAnsi"/>
        </w:rPr>
        <w:t xml:space="preserve">que requieren mejora en alguna de </w:t>
      </w:r>
      <w:r>
        <w:rPr>
          <w:rFonts w:asciiTheme="minorHAnsi" w:hAnsiTheme="minorHAnsi"/>
        </w:rPr>
        <w:t xml:space="preserve">sus cuatro dimensiones </w:t>
      </w:r>
      <w:r w:rsidR="002C281C">
        <w:rPr>
          <w:rFonts w:asciiTheme="minorHAnsi" w:hAnsiTheme="minorHAnsi"/>
        </w:rPr>
        <w:t>de objetivos</w:t>
      </w:r>
      <w:r w:rsidR="000D5BB1">
        <w:rPr>
          <w:rFonts w:asciiTheme="minorHAnsi" w:hAnsiTheme="minorHAnsi"/>
        </w:rPr>
        <w:t>:</w:t>
      </w:r>
    </w:p>
    <w:p w:rsidR="000D5BB1" w:rsidRDefault="000D5BB1" w:rsidP="00D949D7">
      <w:pPr>
        <w:rPr>
          <w:rFonts w:asciiTheme="minorHAnsi" w:hAnsiTheme="minorHAnsi"/>
        </w:rPr>
      </w:pPr>
    </w:p>
    <w:p w:rsidR="003E1FC4" w:rsidRDefault="003E1FC4" w:rsidP="003E1FC4">
      <w:pPr>
        <w:pStyle w:val="Default"/>
        <w:numPr>
          <w:ilvl w:val="0"/>
          <w:numId w:val="3"/>
        </w:numPr>
        <w:ind w:left="426"/>
        <w:rPr>
          <w:rFonts w:asciiTheme="minorHAnsi" w:hAnsiTheme="minorHAnsi" w:cstheme="minorBidi"/>
          <w:color w:val="auto"/>
          <w:szCs w:val="22"/>
        </w:rPr>
      </w:pPr>
      <w:r w:rsidRPr="003E1FC4">
        <w:rPr>
          <w:rFonts w:asciiTheme="minorHAnsi" w:hAnsiTheme="minorHAnsi" w:cstheme="minorBidi"/>
          <w:color w:val="auto"/>
          <w:szCs w:val="22"/>
        </w:rPr>
        <w:t>Procurar la efectividad, eficiencia y economía en las operaciones y l</w:t>
      </w:r>
      <w:r>
        <w:rPr>
          <w:rFonts w:asciiTheme="minorHAnsi" w:hAnsiTheme="minorHAnsi" w:cstheme="minorBidi"/>
          <w:color w:val="auto"/>
          <w:szCs w:val="22"/>
        </w:rPr>
        <w:t>a calidad en los servicios.</w:t>
      </w:r>
    </w:p>
    <w:p w:rsidR="003E1FC4" w:rsidRPr="003E1FC4" w:rsidRDefault="003E1FC4" w:rsidP="003E1FC4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3E1FC4" w:rsidRPr="003E1FC4" w:rsidRDefault="003E1FC4" w:rsidP="003E1FC4">
      <w:pPr>
        <w:pStyle w:val="Default"/>
        <w:numPr>
          <w:ilvl w:val="0"/>
          <w:numId w:val="3"/>
        </w:numPr>
        <w:ind w:left="426"/>
        <w:rPr>
          <w:rFonts w:asciiTheme="minorHAnsi" w:hAnsiTheme="minorHAnsi" w:cstheme="minorBidi"/>
          <w:color w:val="auto"/>
          <w:szCs w:val="22"/>
        </w:rPr>
      </w:pPr>
      <w:r w:rsidRPr="003E1FC4">
        <w:rPr>
          <w:rFonts w:asciiTheme="minorHAnsi" w:hAnsiTheme="minorHAnsi" w:cstheme="minorBidi"/>
          <w:color w:val="auto"/>
          <w:szCs w:val="22"/>
        </w:rPr>
        <w:t>Proteger los recursos públicos contra cualquier pérdida, despilfarro, uso indebid</w:t>
      </w:r>
      <w:r>
        <w:rPr>
          <w:rFonts w:asciiTheme="minorHAnsi" w:hAnsiTheme="minorHAnsi" w:cstheme="minorBidi"/>
          <w:color w:val="auto"/>
          <w:szCs w:val="22"/>
        </w:rPr>
        <w:t>o, irregularidad o acto ilegal.</w:t>
      </w:r>
    </w:p>
    <w:p w:rsidR="003E1FC4" w:rsidRDefault="003E1FC4" w:rsidP="003E1FC4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3E1FC4" w:rsidRDefault="003E1FC4" w:rsidP="003E1FC4">
      <w:pPr>
        <w:pStyle w:val="Default"/>
        <w:numPr>
          <w:ilvl w:val="0"/>
          <w:numId w:val="3"/>
        </w:numPr>
        <w:ind w:left="426"/>
        <w:rPr>
          <w:rFonts w:asciiTheme="minorHAnsi" w:hAnsiTheme="minorHAnsi" w:cstheme="minorBidi"/>
          <w:color w:val="auto"/>
          <w:szCs w:val="22"/>
        </w:rPr>
      </w:pPr>
      <w:r w:rsidRPr="003E1FC4">
        <w:rPr>
          <w:rFonts w:asciiTheme="minorHAnsi" w:hAnsiTheme="minorHAnsi" w:cstheme="minorBidi"/>
          <w:color w:val="auto"/>
          <w:szCs w:val="22"/>
        </w:rPr>
        <w:t>Cumplir las leyes, reglamentos y o</w:t>
      </w:r>
      <w:r>
        <w:rPr>
          <w:rFonts w:asciiTheme="minorHAnsi" w:hAnsiTheme="minorHAnsi" w:cstheme="minorBidi"/>
          <w:color w:val="auto"/>
          <w:szCs w:val="22"/>
        </w:rPr>
        <w:t>tras normas gubernamentales.</w:t>
      </w:r>
    </w:p>
    <w:p w:rsidR="003E1FC4" w:rsidRPr="003E1FC4" w:rsidRDefault="003E1FC4" w:rsidP="003E1FC4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0D5BB1" w:rsidRPr="003E1FC4" w:rsidRDefault="003E1FC4" w:rsidP="003E1FC4">
      <w:pPr>
        <w:pStyle w:val="Prrafodelista"/>
        <w:numPr>
          <w:ilvl w:val="0"/>
          <w:numId w:val="3"/>
        </w:numPr>
        <w:ind w:left="426"/>
        <w:rPr>
          <w:rFonts w:asciiTheme="minorHAnsi" w:hAnsiTheme="minorHAnsi"/>
        </w:rPr>
      </w:pPr>
      <w:r w:rsidRPr="003E1FC4">
        <w:rPr>
          <w:rFonts w:asciiTheme="minorHAnsi" w:hAnsiTheme="minorHAnsi"/>
        </w:rPr>
        <w:lastRenderedPageBreak/>
        <w:t>Elaborar información financiera válida y confiable presentada con oportunidad.</w:t>
      </w:r>
    </w:p>
    <w:p w:rsidR="00C85EDA" w:rsidRDefault="00C85EDA" w:rsidP="00C85EDA">
      <w:pPr>
        <w:pStyle w:val="Prrafodelista"/>
        <w:ind w:left="426"/>
        <w:rPr>
          <w:rFonts w:asciiTheme="minorHAnsi" w:hAnsiTheme="minorHAnsi"/>
          <w:b/>
          <w:u w:val="single"/>
        </w:rPr>
      </w:pPr>
    </w:p>
    <w:p w:rsidR="006071D3" w:rsidRPr="00861BEE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861BEE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6071D3" w:rsidRDefault="006071D3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Todo funcionario y servidor público es parte activa integrante del control interno y tiene la obligación de informar sobre acciones que bajo su entendimiento pueden devenir en una mejora del control interno. De igual forma, los terceros que interactúan con la entidad pueden </w:t>
      </w:r>
      <w:r w:rsidR="001E26EB">
        <w:rPr>
          <w:rFonts w:asciiTheme="minorHAnsi" w:hAnsiTheme="minorHAnsi"/>
        </w:rPr>
        <w:t>representa</w:t>
      </w:r>
      <w:r w:rsidR="00531E31">
        <w:rPr>
          <w:rFonts w:asciiTheme="minorHAnsi" w:hAnsiTheme="minorHAnsi"/>
        </w:rPr>
        <w:t>r</w:t>
      </w:r>
      <w:r w:rsidR="001E26EB">
        <w:rPr>
          <w:rFonts w:asciiTheme="minorHAnsi" w:hAnsiTheme="minorHAnsi"/>
        </w:rPr>
        <w:t xml:space="preserve"> una importante </w:t>
      </w:r>
      <w:r>
        <w:rPr>
          <w:rFonts w:asciiTheme="minorHAnsi" w:hAnsiTheme="minorHAnsi"/>
        </w:rPr>
        <w:t xml:space="preserve">fuente </w:t>
      </w:r>
      <w:r w:rsidR="001E26EB">
        <w:rPr>
          <w:rFonts w:asciiTheme="minorHAnsi" w:hAnsiTheme="minorHAnsi"/>
        </w:rPr>
        <w:t xml:space="preserve">de información </w:t>
      </w:r>
      <w:r>
        <w:rPr>
          <w:rFonts w:asciiTheme="minorHAnsi" w:hAnsiTheme="minorHAnsi"/>
        </w:rPr>
        <w:t>fidedigna de situaciones que pueden contribuir a mejorar el control interno institucional a partir de su vinculación con la entidad como usuario, beneficiario, cliente (en su más amplio sentido</w:t>
      </w:r>
      <w:r w:rsidR="001E26EB">
        <w:rPr>
          <w:rFonts w:asciiTheme="minorHAnsi" w:hAnsiTheme="minorHAnsi"/>
        </w:rPr>
        <w:t xml:space="preserve"> de la palabra</w:t>
      </w:r>
      <w:r>
        <w:rPr>
          <w:rFonts w:asciiTheme="minorHAnsi" w:hAnsiTheme="minorHAnsi"/>
        </w:rPr>
        <w:t>), proveedor, etc.</w:t>
      </w:r>
    </w:p>
    <w:p w:rsidR="006071D3" w:rsidRDefault="006071D3" w:rsidP="00D949D7">
      <w:pPr>
        <w:rPr>
          <w:rFonts w:asciiTheme="minorHAnsi" w:hAnsiTheme="minorHAnsi"/>
        </w:rPr>
      </w:pPr>
    </w:p>
    <w:p w:rsidR="006071D3" w:rsidRDefault="006071D3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tal efecto se establecen los siguientes </w:t>
      </w:r>
      <w:r w:rsidR="001E26EB">
        <w:rPr>
          <w:rFonts w:asciiTheme="minorHAnsi" w:hAnsiTheme="minorHAnsi"/>
        </w:rPr>
        <w:t xml:space="preserve">directrices </w:t>
      </w:r>
      <w:r>
        <w:rPr>
          <w:rFonts w:asciiTheme="minorHAnsi" w:hAnsiTheme="minorHAnsi"/>
        </w:rPr>
        <w:t xml:space="preserve">para materializar la </w:t>
      </w:r>
      <w:r w:rsidR="001E26EB">
        <w:rPr>
          <w:rFonts w:asciiTheme="minorHAnsi" w:hAnsiTheme="minorHAnsi"/>
        </w:rPr>
        <w:t>POLÍTICA</w:t>
      </w:r>
      <w:r>
        <w:rPr>
          <w:rFonts w:asciiTheme="minorHAnsi" w:hAnsiTheme="minorHAnsi"/>
        </w:rPr>
        <w:t xml:space="preserve"> sobre </w:t>
      </w:r>
      <w:r w:rsidRPr="001E26EB">
        <w:rPr>
          <w:rFonts w:asciiTheme="minorHAnsi" w:hAnsiTheme="minorHAnsi"/>
          <w:i/>
        </w:rPr>
        <w:t>“Participación activa del personal en el mejoramiento del control interno”</w:t>
      </w:r>
      <w:r>
        <w:rPr>
          <w:rFonts w:asciiTheme="minorHAnsi" w:hAnsiTheme="minorHAnsi"/>
        </w:rPr>
        <w:t>.</w:t>
      </w:r>
    </w:p>
    <w:p w:rsidR="006071D3" w:rsidRDefault="006071D3" w:rsidP="00D949D7">
      <w:pPr>
        <w:rPr>
          <w:rFonts w:asciiTheme="minorHAnsi" w:hAnsiTheme="minorHAnsi"/>
        </w:rPr>
      </w:pPr>
    </w:p>
    <w:p w:rsidR="006071D3" w:rsidRDefault="001E26EB" w:rsidP="00742134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742134">
        <w:rPr>
          <w:rFonts w:asciiTheme="minorHAnsi" w:hAnsiTheme="minorHAnsi"/>
        </w:rPr>
        <w:t xml:space="preserve">l Comité de Control Interno (COCOIN) </w:t>
      </w:r>
      <w:r>
        <w:rPr>
          <w:rFonts w:asciiTheme="minorHAnsi" w:hAnsiTheme="minorHAnsi"/>
        </w:rPr>
        <w:t xml:space="preserve">debe disponer </w:t>
      </w:r>
      <w:r w:rsidR="00742134">
        <w:rPr>
          <w:rFonts w:asciiTheme="minorHAnsi" w:hAnsiTheme="minorHAnsi"/>
        </w:rPr>
        <w:t xml:space="preserve">un mecanismo mediante el cual se puedan recibir mejoras para el fortalecimiento del control interno institucional por parte del personal de la entidad, independientemente </w:t>
      </w:r>
      <w:r>
        <w:rPr>
          <w:rFonts w:asciiTheme="minorHAnsi" w:hAnsiTheme="minorHAnsi"/>
        </w:rPr>
        <w:t xml:space="preserve">de la </w:t>
      </w:r>
      <w:r w:rsidR="00742134">
        <w:rPr>
          <w:rFonts w:asciiTheme="minorHAnsi" w:hAnsiTheme="minorHAnsi"/>
        </w:rPr>
        <w:t>función y cargo</w:t>
      </w:r>
      <w:r>
        <w:rPr>
          <w:rFonts w:asciiTheme="minorHAnsi" w:hAnsiTheme="minorHAnsi"/>
        </w:rPr>
        <w:t xml:space="preserve"> que ejerzan</w:t>
      </w:r>
      <w:r w:rsidR="00742134">
        <w:rPr>
          <w:rFonts w:asciiTheme="minorHAnsi" w:hAnsiTheme="minorHAnsi"/>
        </w:rPr>
        <w:t>. Al respecto</w:t>
      </w:r>
      <w:r>
        <w:rPr>
          <w:rFonts w:asciiTheme="minorHAnsi" w:hAnsiTheme="minorHAnsi"/>
        </w:rPr>
        <w:t>,</w:t>
      </w:r>
      <w:r w:rsidR="00742134">
        <w:rPr>
          <w:rFonts w:asciiTheme="minorHAnsi" w:hAnsiTheme="minorHAnsi"/>
        </w:rPr>
        <w:t xml:space="preserve"> el COCOIN establecerá </w:t>
      </w:r>
      <w:r w:rsidR="00AE5B23">
        <w:rPr>
          <w:rFonts w:asciiTheme="minorHAnsi" w:hAnsiTheme="minorHAnsi"/>
        </w:rPr>
        <w:t xml:space="preserve">el </w:t>
      </w:r>
      <w:r w:rsidR="00742134">
        <w:rPr>
          <w:rFonts w:asciiTheme="minorHAnsi" w:hAnsiTheme="minorHAnsi"/>
        </w:rPr>
        <w:t>formato o medio a ser utilizado</w:t>
      </w:r>
      <w:r>
        <w:rPr>
          <w:rFonts w:asciiTheme="minorHAnsi" w:hAnsiTheme="minorHAnsi"/>
        </w:rPr>
        <w:t xml:space="preserve"> y lo dará a conocer para su adecuada utilización</w:t>
      </w:r>
      <w:r w:rsidR="00742134">
        <w:rPr>
          <w:rFonts w:asciiTheme="minorHAnsi" w:hAnsiTheme="minorHAnsi"/>
        </w:rPr>
        <w:t>.</w:t>
      </w:r>
    </w:p>
    <w:p w:rsidR="00B43CA6" w:rsidRDefault="00B43CA6" w:rsidP="00B43CA6">
      <w:pPr>
        <w:pStyle w:val="Prrafodelista"/>
        <w:ind w:left="426"/>
        <w:rPr>
          <w:rFonts w:asciiTheme="minorHAnsi" w:hAnsiTheme="minorHAnsi"/>
        </w:rPr>
      </w:pPr>
    </w:p>
    <w:p w:rsidR="00742134" w:rsidRDefault="00742134" w:rsidP="00742134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Mensualmente el COCOIN </w:t>
      </w:r>
      <w:r w:rsidR="00531E31">
        <w:rPr>
          <w:rFonts w:asciiTheme="minorHAnsi" w:hAnsiTheme="minorHAnsi"/>
        </w:rPr>
        <w:t>remitirá</w:t>
      </w:r>
      <w:r w:rsidR="006451D9">
        <w:rPr>
          <w:rFonts w:asciiTheme="minorHAnsi" w:hAnsiTheme="minorHAnsi"/>
        </w:rPr>
        <w:t xml:space="preserve"> oficialmente a las unidades organizacionales correspondientes, </w:t>
      </w:r>
      <w:r>
        <w:rPr>
          <w:rFonts w:asciiTheme="minorHAnsi" w:hAnsiTheme="minorHAnsi"/>
        </w:rPr>
        <w:t xml:space="preserve">las propuestas </w:t>
      </w:r>
      <w:r w:rsidR="006451D9">
        <w:rPr>
          <w:rFonts w:asciiTheme="minorHAnsi" w:hAnsiTheme="minorHAnsi"/>
        </w:rPr>
        <w:t>de mejora recibidas</w:t>
      </w:r>
      <w:r>
        <w:rPr>
          <w:rFonts w:asciiTheme="minorHAnsi" w:hAnsiTheme="minorHAnsi"/>
        </w:rPr>
        <w:t>, estableciendo un plazo concreto para conocer y analizar la opinión de su responsable y proceder en consecuencia.</w:t>
      </w:r>
    </w:p>
    <w:p w:rsidR="00B43CA6" w:rsidRPr="00B43CA6" w:rsidRDefault="00B43CA6" w:rsidP="00B43CA6">
      <w:pPr>
        <w:rPr>
          <w:rFonts w:asciiTheme="minorHAnsi" w:hAnsiTheme="minorHAnsi"/>
        </w:rPr>
      </w:pPr>
    </w:p>
    <w:p w:rsidR="00742134" w:rsidRDefault="00742134" w:rsidP="00742134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COCOIN deberá establecer mecanismos similares para dar a conocer a los terceros que interactúan con la entidad la facultad que disponen para realizar aportes en la materia y les dará tratamiento </w:t>
      </w:r>
      <w:r w:rsidR="00AE5B23">
        <w:rPr>
          <w:rFonts w:asciiTheme="minorHAnsi" w:hAnsiTheme="minorHAnsi"/>
        </w:rPr>
        <w:t xml:space="preserve">similar </w:t>
      </w:r>
      <w:r>
        <w:rPr>
          <w:rFonts w:asciiTheme="minorHAnsi" w:hAnsiTheme="minorHAnsi"/>
        </w:rPr>
        <w:t>a los mencionados en 1 y 2.</w:t>
      </w:r>
    </w:p>
    <w:p w:rsidR="006451D9" w:rsidRPr="006451D9" w:rsidRDefault="006451D9" w:rsidP="006451D9">
      <w:pPr>
        <w:pStyle w:val="Prrafodelista"/>
        <w:rPr>
          <w:rFonts w:asciiTheme="minorHAnsi" w:hAnsiTheme="minorHAnsi"/>
        </w:rPr>
      </w:pPr>
    </w:p>
    <w:p w:rsidR="006451D9" w:rsidRPr="006071D3" w:rsidRDefault="006451D9" w:rsidP="00742134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COCOIN llevará registros adecuados sobre la </w:t>
      </w:r>
      <w:r w:rsidR="00531E31">
        <w:rPr>
          <w:rFonts w:asciiTheme="minorHAnsi" w:hAnsiTheme="minorHAnsi"/>
        </w:rPr>
        <w:t>colaboración</w:t>
      </w:r>
      <w:r>
        <w:rPr>
          <w:rFonts w:asciiTheme="minorHAnsi" w:hAnsiTheme="minorHAnsi"/>
        </w:rPr>
        <w:t xml:space="preserve"> del personal de la entidad por unidad organizacional, a efecto de observar </w:t>
      </w:r>
      <w:r w:rsidR="00531E31">
        <w:rPr>
          <w:rFonts w:asciiTheme="minorHAnsi" w:hAnsiTheme="minorHAnsi"/>
        </w:rPr>
        <w:t>su</w:t>
      </w:r>
      <w:r>
        <w:rPr>
          <w:rFonts w:asciiTheme="minorHAnsi" w:hAnsiTheme="minorHAnsi"/>
        </w:rPr>
        <w:t xml:space="preserve"> participación y compromiso con la presente POLÍTICA.</w:t>
      </w:r>
    </w:p>
    <w:p w:rsidR="00B43CA6" w:rsidRDefault="00B43CA6" w:rsidP="00D949D7">
      <w:pPr>
        <w:rPr>
          <w:rFonts w:asciiTheme="minorHAnsi" w:hAnsiTheme="minorHAnsi"/>
        </w:rPr>
      </w:pPr>
    </w:p>
    <w:p w:rsidR="00047CD0" w:rsidRDefault="00047CD0" w:rsidP="00D949D7">
      <w:pPr>
        <w:rPr>
          <w:rFonts w:asciiTheme="minorHAnsi" w:hAnsiTheme="minorHAnsi"/>
        </w:rPr>
      </w:pPr>
    </w:p>
    <w:p w:rsidR="002C281C" w:rsidRPr="00861BEE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861BEE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D62A7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E155B2" w:rsidRPr="00E155B2" w:rsidRDefault="00E155B2" w:rsidP="00D949D7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>Comité de Control Interno</w:t>
      </w:r>
      <w:r w:rsidR="00570A62">
        <w:rPr>
          <w:rFonts w:asciiTheme="minorHAnsi" w:hAnsiTheme="minorHAnsi"/>
          <w:b/>
          <w:i/>
        </w:rPr>
        <w:t xml:space="preserve"> (COCOIN)</w:t>
      </w:r>
    </w:p>
    <w:p w:rsidR="00E155B2" w:rsidRDefault="00E155B2" w:rsidP="00D949D7">
      <w:pPr>
        <w:rPr>
          <w:rFonts w:asciiTheme="minorHAnsi" w:hAnsiTheme="minorHAnsi"/>
        </w:rPr>
      </w:pPr>
    </w:p>
    <w:p w:rsidR="00B43CA6" w:rsidRDefault="00B43CA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el COCOIN deberá:</w:t>
      </w:r>
    </w:p>
    <w:p w:rsidR="00AE5B23" w:rsidRDefault="00AE5B23" w:rsidP="00D949D7">
      <w:pPr>
        <w:rPr>
          <w:rFonts w:asciiTheme="minorHAnsi" w:hAnsiTheme="minorHAnsi"/>
        </w:rPr>
      </w:pPr>
    </w:p>
    <w:p w:rsidR="00AE5B23" w:rsidRDefault="00AE5B23" w:rsidP="0046764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Elaborar los formatos o medios para canalizar los aportes del personal para el mejoramiento del control interno y ponerlos en vigencia.</w:t>
      </w:r>
    </w:p>
    <w:p w:rsidR="00D851B6" w:rsidRDefault="00D851B6" w:rsidP="00467640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AE5B23" w:rsidP="0046764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Informar y difundir entre el personal de la entidad sobre la existencia de los medios y mecanismos mencionados en a) para su aplicación.</w:t>
      </w:r>
    </w:p>
    <w:p w:rsidR="00D851B6" w:rsidRDefault="00D851B6" w:rsidP="00467640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AE5B23" w:rsidP="0046764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Realizar las mismas acciones con terceros que interactúan con la entidad, utilizando a tal efecto las facilidades de internet u otras que resulten más efectivas</w:t>
      </w:r>
      <w:r w:rsidR="00E155B2">
        <w:rPr>
          <w:rFonts w:asciiTheme="minorHAnsi" w:hAnsiTheme="minorHAnsi"/>
        </w:rPr>
        <w:t xml:space="preserve"> para su propósito</w:t>
      </w:r>
      <w:r>
        <w:rPr>
          <w:rFonts w:asciiTheme="minorHAnsi" w:hAnsiTheme="minorHAnsi"/>
        </w:rPr>
        <w:t xml:space="preserve">. </w:t>
      </w:r>
    </w:p>
    <w:p w:rsidR="008E2280" w:rsidRPr="008E2280" w:rsidRDefault="008E2280" w:rsidP="00467640">
      <w:pPr>
        <w:pStyle w:val="Prrafodelista"/>
        <w:ind w:left="567" w:hanging="501"/>
        <w:rPr>
          <w:rFonts w:asciiTheme="minorHAnsi" w:hAnsiTheme="minorHAnsi"/>
        </w:rPr>
      </w:pPr>
    </w:p>
    <w:p w:rsidR="008E2280" w:rsidRPr="00AE5B23" w:rsidRDefault="008E2280" w:rsidP="0046764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Diseñar y mantener los registros mencionados en </w:t>
      </w:r>
      <w:r w:rsidR="00531E31">
        <w:rPr>
          <w:rFonts w:asciiTheme="minorHAnsi" w:hAnsiTheme="minorHAnsi"/>
        </w:rPr>
        <w:t>4</w:t>
      </w:r>
      <w:r>
        <w:rPr>
          <w:rFonts w:asciiTheme="minorHAnsi" w:hAnsiTheme="minorHAnsi"/>
        </w:rPr>
        <w:t>. del acápite anterior.</w:t>
      </w:r>
    </w:p>
    <w:p w:rsidR="00B43CA6" w:rsidRDefault="00B43CA6" w:rsidP="00D949D7">
      <w:pPr>
        <w:rPr>
          <w:rFonts w:asciiTheme="minorHAnsi" w:hAnsiTheme="minorHAnsi"/>
        </w:rPr>
      </w:pPr>
    </w:p>
    <w:p w:rsidR="00D949D7" w:rsidRPr="00E155B2" w:rsidRDefault="00E155B2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>Per</w:t>
      </w:r>
      <w:r>
        <w:rPr>
          <w:rFonts w:asciiTheme="minorHAnsi" w:hAnsiTheme="minorHAnsi"/>
          <w:b/>
          <w:i/>
        </w:rPr>
        <w:t>s</w:t>
      </w:r>
      <w:r w:rsidRPr="00E155B2">
        <w:rPr>
          <w:rFonts w:asciiTheme="minorHAnsi" w:hAnsiTheme="minorHAnsi"/>
          <w:b/>
          <w:i/>
        </w:rPr>
        <w:t>onal de la entidad</w:t>
      </w:r>
    </w:p>
    <w:p w:rsidR="00D949D7" w:rsidRDefault="00D949D7">
      <w:pPr>
        <w:rPr>
          <w:rFonts w:asciiTheme="minorHAnsi" w:hAnsiTheme="minorHAnsi"/>
        </w:rPr>
      </w:pPr>
    </w:p>
    <w:p w:rsidR="00E155B2" w:rsidRDefault="00E155B2" w:rsidP="00467640">
      <w:pPr>
        <w:pStyle w:val="Prrafodelista"/>
        <w:numPr>
          <w:ilvl w:val="0"/>
          <w:numId w:val="6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Realizar los aportes que consideren necesario</w:t>
      </w:r>
      <w:r w:rsidR="008E228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para contribuir a mejorar el control interno </w:t>
      </w:r>
      <w:r w:rsidR="008E2280">
        <w:rPr>
          <w:rFonts w:asciiTheme="minorHAnsi" w:hAnsiTheme="minorHAnsi"/>
        </w:rPr>
        <w:t>en sus cuatro dimensiones de objetivos.</w:t>
      </w:r>
    </w:p>
    <w:p w:rsidR="00D949D7" w:rsidRDefault="00D949D7">
      <w:pPr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570A62" w:rsidRDefault="00570A62" w:rsidP="00467640">
      <w:pPr>
        <w:pStyle w:val="Prrafodelista"/>
        <w:numPr>
          <w:ilvl w:val="0"/>
          <w:numId w:val="7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estricto seguimiento al efectivo cumplimiento de la presente </w:t>
      </w:r>
      <w:r w:rsidR="00446FF1">
        <w:rPr>
          <w:rFonts w:asciiTheme="minorHAnsi" w:hAnsiTheme="minorHAnsi"/>
        </w:rPr>
        <w:t>POLÍTICA e informar</w:t>
      </w:r>
      <w:r w:rsidR="002404D2">
        <w:rPr>
          <w:rFonts w:asciiTheme="minorHAnsi" w:hAnsiTheme="minorHAnsi"/>
        </w:rPr>
        <w:t xml:space="preserve"> al respecto y</w:t>
      </w:r>
      <w:r w:rsidR="00446FF1">
        <w:rPr>
          <w:rFonts w:asciiTheme="minorHAnsi" w:hAnsiTheme="minorHAnsi"/>
        </w:rPr>
        <w:t xml:space="preserve"> oportunamente </w:t>
      </w:r>
      <w:r w:rsidR="00446FF1">
        <w:rPr>
          <w:rFonts w:ascii="Calibri" w:hAnsi="Calibri"/>
        </w:rPr>
        <w:t>a las instancias correspondientes, entre ellos, el Comité de Control Interno Institucional</w:t>
      </w:r>
      <w:r w:rsidR="00446FF1" w:rsidRPr="00866986">
        <w:rPr>
          <w:rFonts w:ascii="Calibri" w:hAnsi="Calibri"/>
        </w:rPr>
        <w:t>.</w:t>
      </w:r>
    </w:p>
    <w:p w:rsidR="000F7043" w:rsidRDefault="000F7043">
      <w:pPr>
        <w:rPr>
          <w:rFonts w:asciiTheme="minorHAnsi" w:hAnsiTheme="minorHAnsi"/>
        </w:rPr>
      </w:pP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57" w:rsidRDefault="00835E57" w:rsidP="00D949D7">
      <w:r>
        <w:separator/>
      </w:r>
    </w:p>
  </w:endnote>
  <w:endnote w:type="continuationSeparator" w:id="0">
    <w:p w:rsidR="00835E57" w:rsidRDefault="00835E57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1BEE" w:rsidRPr="00903B3B" w:rsidRDefault="00861BEE" w:rsidP="00861BEE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D37BF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D37BF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61BEE" w:rsidRDefault="00861B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57" w:rsidRDefault="00835E57" w:rsidP="00D949D7">
      <w:r>
        <w:separator/>
      </w:r>
    </w:p>
  </w:footnote>
  <w:footnote w:type="continuationSeparator" w:id="0">
    <w:p w:rsidR="00835E57" w:rsidRDefault="00835E57" w:rsidP="00D949D7">
      <w:r>
        <w:continuationSeparator/>
      </w:r>
    </w:p>
  </w:footnote>
  <w:footnote w:id="1">
    <w:p w:rsidR="00500CC8" w:rsidRDefault="00500CC8" w:rsidP="00500CC8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09" w:rsidRPr="00826909" w:rsidRDefault="00826909" w:rsidP="00826909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>ANEXO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7A8E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12BCE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47CD0"/>
    <w:rsid w:val="00090AE9"/>
    <w:rsid w:val="000C22D8"/>
    <w:rsid w:val="000D5BB1"/>
    <w:rsid w:val="000F7043"/>
    <w:rsid w:val="00153268"/>
    <w:rsid w:val="001D402A"/>
    <w:rsid w:val="001E26EB"/>
    <w:rsid w:val="002404D2"/>
    <w:rsid w:val="002A089A"/>
    <w:rsid w:val="002C281C"/>
    <w:rsid w:val="002E766E"/>
    <w:rsid w:val="003D37BF"/>
    <w:rsid w:val="003E1FC4"/>
    <w:rsid w:val="00446FF1"/>
    <w:rsid w:val="00467640"/>
    <w:rsid w:val="004D3A38"/>
    <w:rsid w:val="00500CC8"/>
    <w:rsid w:val="00531E31"/>
    <w:rsid w:val="00570A62"/>
    <w:rsid w:val="006071D3"/>
    <w:rsid w:val="006451D9"/>
    <w:rsid w:val="0069666C"/>
    <w:rsid w:val="0073563E"/>
    <w:rsid w:val="00742134"/>
    <w:rsid w:val="007B3459"/>
    <w:rsid w:val="00826909"/>
    <w:rsid w:val="00835E57"/>
    <w:rsid w:val="00861BEE"/>
    <w:rsid w:val="008E2280"/>
    <w:rsid w:val="00981D63"/>
    <w:rsid w:val="00AE362E"/>
    <w:rsid w:val="00AE5B23"/>
    <w:rsid w:val="00B03503"/>
    <w:rsid w:val="00B43CA6"/>
    <w:rsid w:val="00B64653"/>
    <w:rsid w:val="00B95276"/>
    <w:rsid w:val="00BF72CB"/>
    <w:rsid w:val="00C85EDA"/>
    <w:rsid w:val="00D3370B"/>
    <w:rsid w:val="00D44159"/>
    <w:rsid w:val="00D51805"/>
    <w:rsid w:val="00D62A7B"/>
    <w:rsid w:val="00D851B6"/>
    <w:rsid w:val="00D949D7"/>
    <w:rsid w:val="00D95034"/>
    <w:rsid w:val="00E155B2"/>
    <w:rsid w:val="00E5307B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CBF3-E047-4759-93C4-2DAB6ADC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31</cp:revision>
  <cp:lastPrinted>2013-01-18T01:36:00Z</cp:lastPrinted>
  <dcterms:created xsi:type="dcterms:W3CDTF">2013-01-13T22:03:00Z</dcterms:created>
  <dcterms:modified xsi:type="dcterms:W3CDTF">2013-01-18T01:37:00Z</dcterms:modified>
</cp:coreProperties>
</file>